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1C" w:rsidRPr="00F5091C" w:rsidRDefault="0094320B" w:rsidP="0094320B">
      <w:pPr>
        <w:spacing w:line="240" w:lineRule="auto"/>
        <w:contextualSpacing/>
        <w:jc w:val="center"/>
        <w:rPr>
          <w:rFonts w:ascii="Century Gothic" w:hAnsi="Century Gothic"/>
          <w:sz w:val="24"/>
          <w:szCs w:val="24"/>
          <w:u w:val="single"/>
        </w:rPr>
      </w:pPr>
      <w:r w:rsidRPr="00F5091C">
        <w:rPr>
          <w:rFonts w:ascii="Century Gothic" w:hAnsi="Century Gothic"/>
          <w:sz w:val="24"/>
          <w:szCs w:val="24"/>
          <w:u w:val="single"/>
        </w:rPr>
        <w:t xml:space="preserve">Association’s Policy Governing the Collection of </w:t>
      </w:r>
    </w:p>
    <w:p w:rsidR="0094320B" w:rsidRDefault="00F5091C" w:rsidP="0094320B">
      <w:pPr>
        <w:spacing w:line="240" w:lineRule="auto"/>
        <w:contextualSpacing/>
        <w:jc w:val="center"/>
        <w:rPr>
          <w:rFonts w:ascii="Century Gothic" w:hAnsi="Century Gothic"/>
          <w:sz w:val="24"/>
          <w:szCs w:val="24"/>
          <w:u w:val="single"/>
        </w:rPr>
      </w:pPr>
      <w:r w:rsidRPr="00F5091C">
        <w:rPr>
          <w:rFonts w:ascii="Century Gothic" w:hAnsi="Century Gothic"/>
          <w:sz w:val="24"/>
          <w:szCs w:val="24"/>
          <w:u w:val="single"/>
        </w:rPr>
        <w:t>Unpaid Assessments</w:t>
      </w:r>
    </w:p>
    <w:p w:rsidR="00CA2F65" w:rsidRDefault="00CA2F65" w:rsidP="0094320B">
      <w:pPr>
        <w:spacing w:line="240" w:lineRule="auto"/>
        <w:contextualSpacing/>
        <w:jc w:val="center"/>
        <w:rPr>
          <w:rFonts w:ascii="Century Gothic" w:hAnsi="Century Gothic"/>
          <w:sz w:val="24"/>
          <w:szCs w:val="24"/>
          <w:u w:val="single"/>
        </w:rPr>
      </w:pPr>
    </w:p>
    <w:p w:rsidR="00CA2F65" w:rsidRDefault="00CA2F65" w:rsidP="0094320B">
      <w:pPr>
        <w:spacing w:line="240" w:lineRule="auto"/>
        <w:contextualSpacing/>
        <w:jc w:val="center"/>
        <w:rPr>
          <w:rFonts w:ascii="Century Gothic" w:hAnsi="Century Gothic"/>
          <w:sz w:val="24"/>
          <w:szCs w:val="24"/>
        </w:rPr>
      </w:pPr>
      <w:r>
        <w:rPr>
          <w:rFonts w:ascii="Century Gothic" w:hAnsi="Century Gothic"/>
          <w:sz w:val="24"/>
          <w:szCs w:val="24"/>
        </w:rPr>
        <w:t xml:space="preserve">(Adopted by unanimous written consent of the Board of Directors, </w:t>
      </w:r>
    </w:p>
    <w:p w:rsidR="00CA2F65" w:rsidRPr="00CA2F65" w:rsidRDefault="00CA2F65" w:rsidP="0094320B">
      <w:pPr>
        <w:spacing w:line="240" w:lineRule="auto"/>
        <w:contextualSpacing/>
        <w:jc w:val="center"/>
        <w:rPr>
          <w:rFonts w:ascii="Century Gothic" w:hAnsi="Century Gothic"/>
          <w:sz w:val="24"/>
          <w:szCs w:val="24"/>
        </w:rPr>
      </w:pPr>
      <w:proofErr w:type="gramStart"/>
      <w:r>
        <w:rPr>
          <w:rFonts w:ascii="Century Gothic" w:hAnsi="Century Gothic"/>
          <w:sz w:val="24"/>
          <w:szCs w:val="24"/>
        </w:rPr>
        <w:t>effective</w:t>
      </w:r>
      <w:proofErr w:type="gramEnd"/>
      <w:r>
        <w:rPr>
          <w:rFonts w:ascii="Century Gothic" w:hAnsi="Century Gothic"/>
          <w:sz w:val="24"/>
          <w:szCs w:val="24"/>
        </w:rPr>
        <w:t xml:space="preserve"> January 1, 2014) </w:t>
      </w:r>
    </w:p>
    <w:p w:rsidR="00F5091C" w:rsidRDefault="00F5091C" w:rsidP="0094320B">
      <w:pPr>
        <w:spacing w:line="240" w:lineRule="auto"/>
        <w:contextualSpacing/>
        <w:jc w:val="center"/>
        <w:rPr>
          <w:rFonts w:ascii="Century Gothic" w:hAnsi="Century Gothic"/>
          <w:sz w:val="24"/>
          <w:szCs w:val="24"/>
          <w:u w:val="single"/>
        </w:rPr>
      </w:pPr>
    </w:p>
    <w:p w:rsidR="00F5091C" w:rsidRDefault="006260B1" w:rsidP="00F5091C">
      <w:pPr>
        <w:spacing w:line="240" w:lineRule="auto"/>
        <w:contextualSpacing/>
        <w:rPr>
          <w:rFonts w:ascii="Century Gothic" w:hAnsi="Century Gothic"/>
        </w:rPr>
      </w:pPr>
      <w:r>
        <w:rPr>
          <w:rFonts w:ascii="Century Gothic" w:hAnsi="Century Gothic"/>
        </w:rPr>
        <w:t xml:space="preserve">Whereas, </w:t>
      </w:r>
      <w:r w:rsidR="00F5091C" w:rsidRPr="00F5091C">
        <w:rPr>
          <w:rFonts w:ascii="Century Gothic" w:hAnsi="Century Gothic"/>
        </w:rPr>
        <w:t>Stapleton Mansion Homes Condominium Association Filing No 2</w:t>
      </w:r>
      <w:r w:rsidR="008D72B0">
        <w:rPr>
          <w:rFonts w:ascii="Century Gothic" w:hAnsi="Century Gothic"/>
        </w:rPr>
        <w:t xml:space="preserve">, referred to </w:t>
      </w:r>
      <w:r w:rsidR="00F5091C">
        <w:rPr>
          <w:rFonts w:ascii="Century Gothic" w:hAnsi="Century Gothic"/>
        </w:rPr>
        <w:t>herein as the “Association”</w:t>
      </w:r>
      <w:r w:rsidR="008D72B0">
        <w:rPr>
          <w:rFonts w:ascii="Century Gothic" w:hAnsi="Century Gothic"/>
        </w:rPr>
        <w:t xml:space="preserve">, </w:t>
      </w:r>
      <w:r w:rsidR="00F5091C">
        <w:rPr>
          <w:rFonts w:ascii="Century Gothic" w:hAnsi="Century Gothic"/>
        </w:rPr>
        <w:t xml:space="preserve"> </w:t>
      </w:r>
      <w:r w:rsidR="00E739DD">
        <w:rPr>
          <w:rFonts w:ascii="Century Gothic" w:hAnsi="Century Gothic"/>
        </w:rPr>
        <w:t>has the power and authority</w:t>
      </w:r>
      <w:r w:rsidR="008D72B0">
        <w:rPr>
          <w:rFonts w:ascii="Century Gothic" w:hAnsi="Century Gothic"/>
        </w:rPr>
        <w:t xml:space="preserve"> under its governing documents</w:t>
      </w:r>
      <w:r w:rsidR="00E739DD">
        <w:rPr>
          <w:rFonts w:ascii="Century Gothic" w:hAnsi="Century Gothic"/>
        </w:rPr>
        <w:t xml:space="preserve"> to make assessments, regular and special, and collect such assessments to carry out the operation and maintenance responsibilities of the As</w:t>
      </w:r>
      <w:r w:rsidR="008D72B0">
        <w:rPr>
          <w:rFonts w:ascii="Century Gothic" w:hAnsi="Century Gothic"/>
        </w:rPr>
        <w:t>sociation;</w:t>
      </w:r>
    </w:p>
    <w:p w:rsidR="00E739DD" w:rsidRDefault="00E739DD" w:rsidP="00F5091C">
      <w:pPr>
        <w:spacing w:line="240" w:lineRule="auto"/>
        <w:contextualSpacing/>
        <w:rPr>
          <w:rFonts w:ascii="Century Gothic" w:hAnsi="Century Gothic"/>
        </w:rPr>
      </w:pPr>
    </w:p>
    <w:p w:rsidR="00E739DD" w:rsidRDefault="001C7BA0" w:rsidP="00F5091C">
      <w:pPr>
        <w:spacing w:line="240" w:lineRule="auto"/>
        <w:contextualSpacing/>
        <w:rPr>
          <w:rFonts w:ascii="Century Gothic" w:hAnsi="Century Gothic"/>
        </w:rPr>
      </w:pPr>
      <w:r>
        <w:rPr>
          <w:rFonts w:ascii="Century Gothic" w:hAnsi="Century Gothic"/>
        </w:rPr>
        <w:t>Now t</w:t>
      </w:r>
      <w:r w:rsidR="006260B1">
        <w:rPr>
          <w:rFonts w:ascii="Century Gothic" w:hAnsi="Century Gothic"/>
        </w:rPr>
        <w:t>herefore,</w:t>
      </w:r>
      <w:r>
        <w:rPr>
          <w:rFonts w:ascii="Century Gothic" w:hAnsi="Century Gothic"/>
        </w:rPr>
        <w:t xml:space="preserve"> t</w:t>
      </w:r>
      <w:r w:rsidR="00C45C57">
        <w:rPr>
          <w:rFonts w:ascii="Century Gothic" w:hAnsi="Century Gothic"/>
        </w:rPr>
        <w:t>he Association</w:t>
      </w:r>
      <w:r>
        <w:rPr>
          <w:rFonts w:ascii="Century Gothic" w:hAnsi="Century Gothic"/>
        </w:rPr>
        <w:t>’s policy governing</w:t>
      </w:r>
      <w:r w:rsidR="006260B1">
        <w:rPr>
          <w:rFonts w:ascii="Century Gothic" w:hAnsi="Century Gothic"/>
        </w:rPr>
        <w:t xml:space="preserve"> the c</w:t>
      </w:r>
      <w:r>
        <w:rPr>
          <w:rFonts w:ascii="Century Gothic" w:hAnsi="Century Gothic"/>
        </w:rPr>
        <w:t xml:space="preserve">ollection of unpaid assessments is stated as follows: </w:t>
      </w:r>
    </w:p>
    <w:p w:rsidR="006260B1" w:rsidRDefault="006260B1" w:rsidP="00F5091C">
      <w:pPr>
        <w:spacing w:line="240" w:lineRule="auto"/>
        <w:contextualSpacing/>
        <w:rPr>
          <w:rFonts w:ascii="Century Gothic" w:hAnsi="Century Gothic"/>
        </w:rPr>
      </w:pPr>
    </w:p>
    <w:p w:rsidR="00720D14" w:rsidRDefault="00992372" w:rsidP="00F5091C">
      <w:pPr>
        <w:spacing w:line="240" w:lineRule="auto"/>
        <w:contextualSpacing/>
        <w:rPr>
          <w:rFonts w:ascii="Century Gothic" w:hAnsi="Century Gothic"/>
        </w:rPr>
      </w:pPr>
      <w:r>
        <w:rPr>
          <w:rFonts w:ascii="Century Gothic" w:hAnsi="Century Gothic"/>
        </w:rPr>
        <w:t>A</w:t>
      </w:r>
      <w:r w:rsidR="006260B1">
        <w:rPr>
          <w:rFonts w:ascii="Century Gothic" w:hAnsi="Century Gothic"/>
        </w:rPr>
        <w:t xml:space="preserve">. </w:t>
      </w:r>
      <w:r w:rsidR="002B2DFC" w:rsidRPr="002B2DFC">
        <w:rPr>
          <w:rFonts w:ascii="Century Gothic" w:hAnsi="Century Gothic"/>
          <w:u w:val="single"/>
        </w:rPr>
        <w:t>Due Date</w:t>
      </w:r>
      <w:r w:rsidR="002B2DFC">
        <w:rPr>
          <w:rFonts w:ascii="Century Gothic" w:hAnsi="Century Gothic"/>
        </w:rPr>
        <w:t xml:space="preserve">. </w:t>
      </w:r>
      <w:r w:rsidR="006260B1">
        <w:rPr>
          <w:rFonts w:ascii="Century Gothic" w:hAnsi="Century Gothic"/>
        </w:rPr>
        <w:t xml:space="preserve">Regular monthly assessments are due on the </w:t>
      </w:r>
      <w:r w:rsidR="00720D14">
        <w:rPr>
          <w:rFonts w:ascii="Century Gothic" w:hAnsi="Century Gothic"/>
        </w:rPr>
        <w:t>1st</w:t>
      </w:r>
      <w:r w:rsidR="006260B1">
        <w:rPr>
          <w:rFonts w:ascii="Century Gothic" w:hAnsi="Century Gothic"/>
        </w:rPr>
        <w:t xml:space="preserve"> day of the month</w:t>
      </w:r>
      <w:r w:rsidR="00720D14">
        <w:rPr>
          <w:rFonts w:ascii="Century Gothic" w:hAnsi="Century Gothic"/>
        </w:rPr>
        <w:t xml:space="preserve"> and are considered past due and delinquent after the 15th day of the month.</w:t>
      </w:r>
    </w:p>
    <w:p w:rsidR="00720D14" w:rsidRDefault="00720D14" w:rsidP="00F5091C">
      <w:pPr>
        <w:spacing w:line="240" w:lineRule="auto"/>
        <w:contextualSpacing/>
        <w:rPr>
          <w:rFonts w:ascii="Century Gothic" w:hAnsi="Century Gothic"/>
        </w:rPr>
      </w:pPr>
    </w:p>
    <w:p w:rsidR="00720D14" w:rsidRDefault="00992372" w:rsidP="00F5091C">
      <w:pPr>
        <w:spacing w:line="240" w:lineRule="auto"/>
        <w:contextualSpacing/>
        <w:rPr>
          <w:rFonts w:ascii="Century Gothic" w:hAnsi="Century Gothic"/>
        </w:rPr>
      </w:pPr>
      <w:r>
        <w:rPr>
          <w:rFonts w:ascii="Century Gothic" w:hAnsi="Century Gothic"/>
        </w:rPr>
        <w:t>B</w:t>
      </w:r>
      <w:r w:rsidR="00720D14">
        <w:rPr>
          <w:rFonts w:ascii="Century Gothic" w:hAnsi="Century Gothic"/>
        </w:rPr>
        <w:t xml:space="preserve">. </w:t>
      </w:r>
      <w:r w:rsidR="002B2DFC">
        <w:rPr>
          <w:rFonts w:ascii="Century Gothic" w:hAnsi="Century Gothic"/>
        </w:rPr>
        <w:t xml:space="preserve"> </w:t>
      </w:r>
      <w:r w:rsidR="002B2DFC" w:rsidRPr="002B2DFC">
        <w:rPr>
          <w:rFonts w:ascii="Century Gothic" w:hAnsi="Century Gothic"/>
          <w:u w:val="single"/>
        </w:rPr>
        <w:t>Late Charge/ Interest.</w:t>
      </w:r>
      <w:r w:rsidR="002B2DFC">
        <w:rPr>
          <w:rFonts w:ascii="Century Gothic" w:hAnsi="Century Gothic"/>
        </w:rPr>
        <w:t xml:space="preserve"> </w:t>
      </w:r>
      <w:r w:rsidR="00720D14">
        <w:rPr>
          <w:rFonts w:ascii="Century Gothic" w:hAnsi="Century Gothic"/>
        </w:rPr>
        <w:t>The Association is entitled to assess a late fee of $10 for a past due payment and interest at 12% per annum for late payments after 30 days.</w:t>
      </w:r>
    </w:p>
    <w:p w:rsidR="00720D14" w:rsidRDefault="00720D14" w:rsidP="00F5091C">
      <w:pPr>
        <w:spacing w:line="240" w:lineRule="auto"/>
        <w:contextualSpacing/>
        <w:rPr>
          <w:rFonts w:ascii="Century Gothic" w:hAnsi="Century Gothic"/>
        </w:rPr>
      </w:pPr>
    </w:p>
    <w:p w:rsidR="002B2DFC" w:rsidRDefault="00992372" w:rsidP="00F5091C">
      <w:pPr>
        <w:spacing w:line="240" w:lineRule="auto"/>
        <w:contextualSpacing/>
        <w:rPr>
          <w:rFonts w:ascii="Century Gothic" w:hAnsi="Century Gothic"/>
        </w:rPr>
      </w:pPr>
      <w:r>
        <w:rPr>
          <w:rFonts w:ascii="Century Gothic" w:hAnsi="Century Gothic"/>
        </w:rPr>
        <w:t>C</w:t>
      </w:r>
      <w:r w:rsidR="002B2DFC">
        <w:rPr>
          <w:rFonts w:ascii="Century Gothic" w:hAnsi="Century Gothic"/>
        </w:rPr>
        <w:t xml:space="preserve">. </w:t>
      </w:r>
      <w:r w:rsidR="002B2DFC" w:rsidRPr="00992372">
        <w:rPr>
          <w:rFonts w:ascii="Century Gothic" w:hAnsi="Century Gothic"/>
          <w:u w:val="single"/>
        </w:rPr>
        <w:t>Return Check Fee.</w:t>
      </w:r>
      <w:r w:rsidR="002B2DFC">
        <w:rPr>
          <w:rFonts w:ascii="Century Gothic" w:hAnsi="Century Gothic"/>
        </w:rPr>
        <w:t xml:space="preserve"> The Association may</w:t>
      </w:r>
      <w:r w:rsidR="00EC159C">
        <w:rPr>
          <w:rFonts w:ascii="Century Gothic" w:hAnsi="Century Gothic"/>
        </w:rPr>
        <w:t xml:space="preserve"> assess and collect a fee of $20</w:t>
      </w:r>
      <w:r w:rsidR="002B2DFC">
        <w:rPr>
          <w:rFonts w:ascii="Century Gothic" w:hAnsi="Century Gothic"/>
        </w:rPr>
        <w:t xml:space="preserve"> for each check payable to the Association returned by the bank without payment.  </w:t>
      </w:r>
    </w:p>
    <w:p w:rsidR="002B2DFC" w:rsidRDefault="002B2DFC" w:rsidP="00F5091C">
      <w:pPr>
        <w:spacing w:line="240" w:lineRule="auto"/>
        <w:contextualSpacing/>
        <w:rPr>
          <w:rFonts w:ascii="Century Gothic" w:hAnsi="Century Gothic"/>
        </w:rPr>
      </w:pPr>
    </w:p>
    <w:p w:rsidR="006260B1" w:rsidRDefault="00992372" w:rsidP="00F5091C">
      <w:pPr>
        <w:spacing w:line="240" w:lineRule="auto"/>
        <w:contextualSpacing/>
        <w:rPr>
          <w:rFonts w:ascii="Century Gothic" w:hAnsi="Century Gothic"/>
        </w:rPr>
      </w:pPr>
      <w:r>
        <w:rPr>
          <w:rFonts w:ascii="Century Gothic" w:hAnsi="Century Gothic"/>
        </w:rPr>
        <w:t>D</w:t>
      </w:r>
      <w:r w:rsidR="002B2DFC">
        <w:rPr>
          <w:rFonts w:ascii="Century Gothic" w:hAnsi="Century Gothic"/>
        </w:rPr>
        <w:t xml:space="preserve">. </w:t>
      </w:r>
      <w:r w:rsidR="00720D14">
        <w:rPr>
          <w:rFonts w:ascii="Century Gothic" w:hAnsi="Century Gothic"/>
        </w:rPr>
        <w:t xml:space="preserve"> </w:t>
      </w:r>
      <w:r w:rsidR="002B2DFC" w:rsidRPr="002B2DFC">
        <w:rPr>
          <w:rFonts w:ascii="Century Gothic" w:hAnsi="Century Gothic"/>
          <w:u w:val="single"/>
        </w:rPr>
        <w:t>Payment Plan.</w:t>
      </w:r>
      <w:r w:rsidR="00590223">
        <w:rPr>
          <w:rFonts w:ascii="Century Gothic" w:hAnsi="Century Gothic"/>
        </w:rPr>
        <w:t xml:space="preserve">  Before the Association turns over a past due or delinquent account of a unit owner to a collection agency or refers it to an attorney for legal action</w:t>
      </w:r>
      <w:proofErr w:type="gramStart"/>
      <w:r w:rsidR="00590223">
        <w:rPr>
          <w:rFonts w:ascii="Century Gothic" w:hAnsi="Century Gothic"/>
        </w:rPr>
        <w:t xml:space="preserve">, </w:t>
      </w:r>
      <w:r w:rsidR="00BA1E9F">
        <w:rPr>
          <w:rFonts w:ascii="Century Gothic" w:hAnsi="Century Gothic"/>
        </w:rPr>
        <w:t xml:space="preserve"> the</w:t>
      </w:r>
      <w:proofErr w:type="gramEnd"/>
      <w:r w:rsidR="00BA1E9F">
        <w:rPr>
          <w:rFonts w:ascii="Century Gothic" w:hAnsi="Century Gothic"/>
        </w:rPr>
        <w:t xml:space="preserve"> Association shall make a good faith effort to coordinate with the unit owner to set up a payment plan to pay off the deficiency in equal </w:t>
      </w:r>
      <w:r w:rsidR="00B83272">
        <w:rPr>
          <w:rFonts w:ascii="Century Gothic" w:hAnsi="Century Gothic"/>
        </w:rPr>
        <w:t>installments over a period of at least six months.</w:t>
      </w:r>
    </w:p>
    <w:p w:rsidR="00B83272" w:rsidRDefault="00B83272" w:rsidP="00F5091C">
      <w:pPr>
        <w:spacing w:line="240" w:lineRule="auto"/>
        <w:contextualSpacing/>
        <w:rPr>
          <w:rFonts w:ascii="Century Gothic" w:hAnsi="Century Gothic"/>
        </w:rPr>
      </w:pPr>
    </w:p>
    <w:p w:rsidR="00B83272" w:rsidRDefault="00992372" w:rsidP="00F5091C">
      <w:pPr>
        <w:spacing w:line="240" w:lineRule="auto"/>
        <w:contextualSpacing/>
        <w:rPr>
          <w:rFonts w:ascii="Century Gothic" w:hAnsi="Century Gothic"/>
        </w:rPr>
      </w:pPr>
      <w:r>
        <w:rPr>
          <w:rFonts w:ascii="Century Gothic" w:hAnsi="Century Gothic"/>
        </w:rPr>
        <w:t>E</w:t>
      </w:r>
      <w:r w:rsidR="00B83272">
        <w:rPr>
          <w:rFonts w:ascii="Century Gothic" w:hAnsi="Century Gothic"/>
        </w:rPr>
        <w:t xml:space="preserve">. </w:t>
      </w:r>
      <w:r w:rsidR="00B83272" w:rsidRPr="00B83272">
        <w:rPr>
          <w:rFonts w:ascii="Century Gothic" w:hAnsi="Century Gothic"/>
          <w:u w:val="single"/>
        </w:rPr>
        <w:t>Notice of Delinquency.</w:t>
      </w:r>
      <w:r w:rsidR="00B83272">
        <w:rPr>
          <w:rFonts w:ascii="Century Gothic" w:hAnsi="Century Gothic"/>
        </w:rPr>
        <w:t xml:space="preserve"> </w:t>
      </w:r>
      <w:r w:rsidR="00F06660">
        <w:rPr>
          <w:rFonts w:ascii="Century Gothic" w:hAnsi="Century Gothic"/>
        </w:rPr>
        <w:t xml:space="preserve">  Before the Association turns over a past due or delinquent account of a unit owner to a collection agency or refers it to an attorney for legal action, the association must send the unit owner a Notice of delinquency specifying: </w:t>
      </w:r>
    </w:p>
    <w:p w:rsidR="00F06660" w:rsidRDefault="00F06660" w:rsidP="00F5091C">
      <w:pPr>
        <w:spacing w:line="240" w:lineRule="auto"/>
        <w:contextualSpacing/>
        <w:rPr>
          <w:rFonts w:ascii="Century Gothic" w:hAnsi="Century Gothic"/>
        </w:rPr>
      </w:pPr>
    </w:p>
    <w:p w:rsidR="00F06660" w:rsidRDefault="00F06660" w:rsidP="00F5091C">
      <w:pPr>
        <w:spacing w:line="240" w:lineRule="auto"/>
        <w:contextualSpacing/>
        <w:rPr>
          <w:rFonts w:ascii="Century Gothic" w:hAnsi="Century Gothic"/>
        </w:rPr>
      </w:pPr>
      <w:r>
        <w:rPr>
          <w:rFonts w:ascii="Century Gothic" w:hAnsi="Century Gothic"/>
        </w:rPr>
        <w:tab/>
        <w:t xml:space="preserve">1. </w:t>
      </w:r>
      <w:proofErr w:type="gramStart"/>
      <w:r>
        <w:rPr>
          <w:rFonts w:ascii="Century Gothic" w:hAnsi="Century Gothic"/>
        </w:rPr>
        <w:t>the</w:t>
      </w:r>
      <w:proofErr w:type="gramEnd"/>
      <w:r>
        <w:rPr>
          <w:rFonts w:ascii="Century Gothic" w:hAnsi="Century Gothic"/>
        </w:rPr>
        <w:t xml:space="preserve"> total amount due, with an accounting of how the total was determined;</w:t>
      </w:r>
    </w:p>
    <w:p w:rsidR="00F06660" w:rsidRDefault="00F06660" w:rsidP="00F5091C">
      <w:pPr>
        <w:spacing w:line="240" w:lineRule="auto"/>
        <w:contextualSpacing/>
        <w:rPr>
          <w:rFonts w:ascii="Century Gothic" w:hAnsi="Century Gothic"/>
        </w:rPr>
      </w:pPr>
    </w:p>
    <w:p w:rsidR="00F06660" w:rsidRDefault="00F06660" w:rsidP="00F5091C">
      <w:pPr>
        <w:spacing w:line="240" w:lineRule="auto"/>
        <w:contextualSpacing/>
        <w:rPr>
          <w:rFonts w:ascii="Century Gothic" w:hAnsi="Century Gothic"/>
        </w:rPr>
      </w:pPr>
      <w:r>
        <w:rPr>
          <w:rFonts w:ascii="Century Gothic" w:hAnsi="Century Gothic"/>
        </w:rPr>
        <w:tab/>
        <w:t xml:space="preserve">2. </w:t>
      </w:r>
      <w:proofErr w:type="gramStart"/>
      <w:r>
        <w:rPr>
          <w:rFonts w:ascii="Century Gothic" w:hAnsi="Century Gothic"/>
        </w:rPr>
        <w:t>whether</w:t>
      </w:r>
      <w:proofErr w:type="gramEnd"/>
      <w:r>
        <w:rPr>
          <w:rFonts w:ascii="Century Gothic" w:hAnsi="Century Gothic"/>
        </w:rPr>
        <w:t xml:space="preserve"> the opportunity to enter into a payment plan exists pursuant to section 38-33.3-316.3 C.R.S</w:t>
      </w:r>
      <w:r w:rsidR="00E773C3">
        <w:rPr>
          <w:rFonts w:ascii="Century Gothic" w:hAnsi="Century Gothic"/>
        </w:rPr>
        <w:t xml:space="preserve"> and instructions for contacting the Association to enter into such a payment plan;</w:t>
      </w:r>
    </w:p>
    <w:p w:rsidR="00E773C3" w:rsidRDefault="00E773C3" w:rsidP="00F5091C">
      <w:pPr>
        <w:spacing w:line="240" w:lineRule="auto"/>
        <w:contextualSpacing/>
        <w:rPr>
          <w:rFonts w:ascii="Century Gothic" w:hAnsi="Century Gothic"/>
        </w:rPr>
      </w:pPr>
    </w:p>
    <w:p w:rsidR="00E773C3" w:rsidRDefault="00E773C3" w:rsidP="00F5091C">
      <w:pPr>
        <w:spacing w:line="240" w:lineRule="auto"/>
        <w:contextualSpacing/>
        <w:rPr>
          <w:rFonts w:ascii="Century Gothic" w:hAnsi="Century Gothic"/>
        </w:rPr>
      </w:pPr>
      <w:r>
        <w:rPr>
          <w:rFonts w:ascii="Century Gothic" w:hAnsi="Century Gothic"/>
        </w:rPr>
        <w:tab/>
        <w:t xml:space="preserve">3. </w:t>
      </w:r>
      <w:proofErr w:type="gramStart"/>
      <w:r>
        <w:rPr>
          <w:rFonts w:ascii="Century Gothic" w:hAnsi="Century Gothic"/>
        </w:rPr>
        <w:t>the</w:t>
      </w:r>
      <w:proofErr w:type="gramEnd"/>
      <w:r>
        <w:rPr>
          <w:rFonts w:ascii="Century Gothic" w:hAnsi="Century Gothic"/>
        </w:rPr>
        <w:t xml:space="preserve"> name and contact </w:t>
      </w:r>
      <w:r w:rsidR="008D72B0">
        <w:rPr>
          <w:rFonts w:ascii="Century Gothic" w:hAnsi="Century Gothic"/>
        </w:rPr>
        <w:t>information for</w:t>
      </w:r>
      <w:r>
        <w:rPr>
          <w:rFonts w:ascii="Century Gothic" w:hAnsi="Century Gothic"/>
        </w:rPr>
        <w:t xml:space="preserve"> the individual the unit owner may contact to request a copy of the unit owner’s ledger in order to verify the amount of the debt; and </w:t>
      </w:r>
    </w:p>
    <w:p w:rsidR="00E773C3" w:rsidRDefault="00E773C3" w:rsidP="00F5091C">
      <w:pPr>
        <w:spacing w:line="240" w:lineRule="auto"/>
        <w:contextualSpacing/>
        <w:rPr>
          <w:rFonts w:ascii="Century Gothic" w:hAnsi="Century Gothic"/>
        </w:rPr>
      </w:pPr>
    </w:p>
    <w:p w:rsidR="00E773C3" w:rsidRDefault="00E773C3" w:rsidP="00F5091C">
      <w:pPr>
        <w:spacing w:line="240" w:lineRule="auto"/>
        <w:contextualSpacing/>
        <w:rPr>
          <w:rFonts w:ascii="Century Gothic" w:hAnsi="Century Gothic"/>
        </w:rPr>
      </w:pPr>
      <w:r>
        <w:rPr>
          <w:rFonts w:ascii="Century Gothic" w:hAnsi="Century Gothic"/>
        </w:rPr>
        <w:tab/>
        <w:t xml:space="preserve">4. that action is required to cure the delinquency and that failure to do so within thirty days may result in the unit owner’s delinquent account being turned over to a collection agency, a lawsuit being filed against the owner, the filing and foreclosure of </w:t>
      </w:r>
      <w:r>
        <w:rPr>
          <w:rFonts w:ascii="Century Gothic" w:hAnsi="Century Gothic"/>
        </w:rPr>
        <w:lastRenderedPageBreak/>
        <w:t xml:space="preserve">a lien against the unit owner’s property, </w:t>
      </w:r>
      <w:r w:rsidR="008D72B0">
        <w:rPr>
          <w:rFonts w:ascii="Century Gothic" w:hAnsi="Century Gothic"/>
        </w:rPr>
        <w:t>or</w:t>
      </w:r>
      <w:r>
        <w:rPr>
          <w:rFonts w:ascii="Century Gothic" w:hAnsi="Century Gothic"/>
        </w:rPr>
        <w:t xml:space="preserve"> other remedies available under Colorado Law;</w:t>
      </w:r>
    </w:p>
    <w:p w:rsidR="00E773C3" w:rsidRDefault="00E773C3" w:rsidP="00F5091C">
      <w:pPr>
        <w:spacing w:line="240" w:lineRule="auto"/>
        <w:contextualSpacing/>
        <w:rPr>
          <w:rFonts w:ascii="Century Gothic" w:hAnsi="Century Gothic"/>
        </w:rPr>
      </w:pPr>
    </w:p>
    <w:p w:rsidR="00992372" w:rsidRDefault="00992372" w:rsidP="00F5091C">
      <w:pPr>
        <w:spacing w:line="240" w:lineRule="auto"/>
        <w:contextualSpacing/>
        <w:rPr>
          <w:rFonts w:ascii="Century Gothic" w:hAnsi="Century Gothic"/>
        </w:rPr>
      </w:pPr>
      <w:r>
        <w:rPr>
          <w:rFonts w:ascii="Century Gothic" w:hAnsi="Century Gothic"/>
        </w:rPr>
        <w:t>F.</w:t>
      </w:r>
      <w:r w:rsidR="001C7BA0">
        <w:rPr>
          <w:rFonts w:ascii="Century Gothic" w:hAnsi="Century Gothic"/>
        </w:rPr>
        <w:t xml:space="preserve"> </w:t>
      </w:r>
      <w:r w:rsidR="001C7BA0" w:rsidRPr="00451ACC">
        <w:rPr>
          <w:rFonts w:ascii="Century Gothic" w:hAnsi="Century Gothic"/>
          <w:u w:val="single"/>
        </w:rPr>
        <w:t>Application of Payments.</w:t>
      </w:r>
      <w:r w:rsidR="001C7BA0">
        <w:rPr>
          <w:rFonts w:ascii="Century Gothic" w:hAnsi="Century Gothic"/>
        </w:rPr>
        <w:t xml:space="preserve"> Payments received by the Association on</w:t>
      </w:r>
      <w:r>
        <w:rPr>
          <w:rFonts w:ascii="Century Gothic" w:hAnsi="Century Gothic"/>
        </w:rPr>
        <w:t xml:space="preserve"> the delinquent account of a unit owner </w:t>
      </w:r>
      <w:r w:rsidR="001C7BA0">
        <w:rPr>
          <w:rFonts w:ascii="Century Gothic" w:hAnsi="Century Gothic"/>
        </w:rPr>
        <w:t xml:space="preserve">shall be applied first, costs, including attorney fees incurred by the Association directly related to the delinquent account, second, to late charges and interest assessed against the account, and, third, to the assessments </w:t>
      </w:r>
      <w:r w:rsidR="00451ACC">
        <w:rPr>
          <w:rFonts w:ascii="Century Gothic" w:hAnsi="Century Gothic"/>
        </w:rPr>
        <w:t xml:space="preserve">that are past due. </w:t>
      </w:r>
    </w:p>
    <w:p w:rsidR="00451ACC" w:rsidRDefault="00451ACC" w:rsidP="00F5091C">
      <w:pPr>
        <w:spacing w:line="240" w:lineRule="auto"/>
        <w:contextualSpacing/>
        <w:rPr>
          <w:rFonts w:ascii="Century Gothic" w:hAnsi="Century Gothic"/>
        </w:rPr>
      </w:pPr>
    </w:p>
    <w:p w:rsidR="00451ACC" w:rsidRDefault="00451ACC" w:rsidP="00F5091C">
      <w:pPr>
        <w:spacing w:line="240" w:lineRule="auto"/>
        <w:contextualSpacing/>
        <w:rPr>
          <w:rFonts w:ascii="Century Gothic" w:hAnsi="Century Gothic"/>
        </w:rPr>
      </w:pPr>
      <w:r>
        <w:rPr>
          <w:rFonts w:ascii="Century Gothic" w:hAnsi="Century Gothic"/>
        </w:rPr>
        <w:t xml:space="preserve">G. </w:t>
      </w:r>
      <w:r w:rsidRPr="00451ACC">
        <w:rPr>
          <w:rFonts w:ascii="Century Gothic" w:hAnsi="Century Gothic"/>
          <w:u w:val="single"/>
        </w:rPr>
        <w:t>Legal Remedies.</w:t>
      </w:r>
      <w:r>
        <w:rPr>
          <w:rFonts w:ascii="Century Gothic" w:hAnsi="Century Gothic"/>
        </w:rPr>
        <w:t xml:space="preserve">  The legal remedies available to the Association under the Association’s governing documents and Colorado Law include 1) court action against the unit owner seeking a personal judgment and action to enforce such judgment, 2) the filing and foreclosure of a lien against the unit owner’s property.</w:t>
      </w:r>
    </w:p>
    <w:p w:rsidR="00451ACC" w:rsidRPr="005A444F" w:rsidRDefault="00451ACC" w:rsidP="00F5091C">
      <w:pPr>
        <w:spacing w:line="240" w:lineRule="auto"/>
        <w:contextualSpacing/>
        <w:rPr>
          <w:rFonts w:ascii="Century Gothic" w:hAnsi="Century Gothic"/>
          <w:sz w:val="24"/>
        </w:rPr>
      </w:pPr>
    </w:p>
    <w:p w:rsidR="00451ACC" w:rsidRDefault="00451ACC" w:rsidP="00F5091C">
      <w:pPr>
        <w:spacing w:line="240" w:lineRule="auto"/>
        <w:contextualSpacing/>
        <w:rPr>
          <w:rFonts w:ascii="Century Gothic" w:hAnsi="Century Gothic"/>
        </w:rPr>
      </w:pPr>
      <w:r w:rsidRPr="005A444F">
        <w:rPr>
          <w:rFonts w:ascii="Century Gothic" w:hAnsi="Century Gothic"/>
          <w:sz w:val="24"/>
        </w:rPr>
        <w:t>H.</w:t>
      </w:r>
      <w:r w:rsidRPr="005A444F">
        <w:rPr>
          <w:rFonts w:ascii="Century Gothic" w:hAnsi="Century Gothic"/>
          <w:sz w:val="24"/>
          <w:u w:val="single"/>
        </w:rPr>
        <w:t xml:space="preserve"> Interpretation.</w:t>
      </w:r>
      <w:r w:rsidRPr="005A444F">
        <w:rPr>
          <w:rFonts w:ascii="Century Gothic" w:hAnsi="Century Gothic"/>
          <w:sz w:val="24"/>
        </w:rPr>
        <w:t xml:space="preserve"> </w:t>
      </w:r>
      <w:r w:rsidR="008D72B0" w:rsidRPr="005A444F">
        <w:rPr>
          <w:rFonts w:ascii="Century Gothic" w:hAnsi="Century Gothic"/>
          <w:sz w:val="24"/>
        </w:rPr>
        <w:t xml:space="preserve">  </w:t>
      </w:r>
      <w:r w:rsidR="005A444F" w:rsidRPr="005A444F">
        <w:rPr>
          <w:rFonts w:ascii="Century Gothic" w:hAnsi="Century Gothic"/>
          <w:sz w:val="24"/>
        </w:rPr>
        <w:t xml:space="preserve">This Collection Policy shall be interpreted in accordance with the </w:t>
      </w:r>
      <w:r w:rsidR="005A444F">
        <w:rPr>
          <w:rFonts w:ascii="Century Gothic" w:hAnsi="Century Gothic"/>
        </w:rPr>
        <w:t xml:space="preserve">provisions of the </w:t>
      </w:r>
      <w:r w:rsidR="005A444F" w:rsidRPr="005A444F">
        <w:rPr>
          <w:rFonts w:ascii="Century Gothic" w:hAnsi="Century Gothic"/>
          <w:i/>
        </w:rPr>
        <w:t>Colorado Common Interest Ownership Act</w:t>
      </w:r>
      <w:r w:rsidR="005A444F">
        <w:rPr>
          <w:rFonts w:ascii="Century Gothic" w:hAnsi="Century Gothic"/>
        </w:rPr>
        <w:t xml:space="preserve">, as amended. </w:t>
      </w:r>
    </w:p>
    <w:p w:rsidR="006260B1" w:rsidRDefault="006260B1" w:rsidP="00F5091C">
      <w:pPr>
        <w:spacing w:line="240" w:lineRule="auto"/>
        <w:contextualSpacing/>
        <w:rPr>
          <w:rFonts w:ascii="Century Gothic" w:hAnsi="Century Gothic"/>
        </w:rPr>
      </w:pPr>
    </w:p>
    <w:p w:rsidR="006260B1" w:rsidRDefault="006260B1" w:rsidP="00F5091C">
      <w:pPr>
        <w:spacing w:line="240" w:lineRule="auto"/>
        <w:contextualSpacing/>
        <w:rPr>
          <w:rFonts w:ascii="Century Gothic" w:hAnsi="Century Gothic"/>
        </w:rPr>
      </w:pPr>
    </w:p>
    <w:p w:rsidR="00F5091C" w:rsidRDefault="00F5091C" w:rsidP="00F5091C">
      <w:pPr>
        <w:spacing w:line="240" w:lineRule="auto"/>
        <w:contextualSpacing/>
        <w:rPr>
          <w:rFonts w:ascii="Century Gothic" w:hAnsi="Century Gothic"/>
        </w:rPr>
      </w:pPr>
    </w:p>
    <w:p w:rsidR="00F5091C" w:rsidRPr="00F5091C" w:rsidRDefault="00F5091C" w:rsidP="00F5091C">
      <w:pPr>
        <w:spacing w:line="240" w:lineRule="auto"/>
        <w:contextualSpacing/>
        <w:rPr>
          <w:rFonts w:ascii="Century Gothic" w:hAnsi="Century Gothic"/>
        </w:rPr>
      </w:pPr>
    </w:p>
    <w:p w:rsidR="00F5091C" w:rsidRDefault="00F5091C" w:rsidP="00F5091C">
      <w:pPr>
        <w:spacing w:line="240" w:lineRule="auto"/>
        <w:contextualSpacing/>
        <w:rPr>
          <w:rFonts w:ascii="Century Gothic" w:hAnsi="Century Gothic"/>
          <w:sz w:val="24"/>
          <w:szCs w:val="24"/>
          <w:u w:val="single"/>
        </w:rPr>
      </w:pPr>
    </w:p>
    <w:p w:rsidR="00F5091C" w:rsidRDefault="00F5091C" w:rsidP="0094320B">
      <w:pPr>
        <w:spacing w:line="240" w:lineRule="auto"/>
        <w:contextualSpacing/>
        <w:jc w:val="center"/>
        <w:rPr>
          <w:rFonts w:ascii="Century Gothic" w:hAnsi="Century Gothic"/>
          <w:sz w:val="24"/>
          <w:szCs w:val="24"/>
          <w:u w:val="single"/>
        </w:rPr>
      </w:pPr>
    </w:p>
    <w:p w:rsidR="00F5091C" w:rsidRPr="00F5091C" w:rsidRDefault="00F5091C" w:rsidP="0094320B">
      <w:pPr>
        <w:spacing w:line="240" w:lineRule="auto"/>
        <w:contextualSpacing/>
        <w:jc w:val="center"/>
        <w:rPr>
          <w:rFonts w:ascii="Century Gothic" w:hAnsi="Century Gothic"/>
          <w:sz w:val="24"/>
          <w:szCs w:val="24"/>
          <w:u w:val="single"/>
        </w:rPr>
      </w:pPr>
    </w:p>
    <w:sectPr w:rsidR="00F5091C" w:rsidRPr="00F5091C" w:rsidSect="006569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320B"/>
    <w:rsid w:val="000E24A5"/>
    <w:rsid w:val="00147953"/>
    <w:rsid w:val="001C04A2"/>
    <w:rsid w:val="001C7BA0"/>
    <w:rsid w:val="002B2DFC"/>
    <w:rsid w:val="00451ACC"/>
    <w:rsid w:val="00457243"/>
    <w:rsid w:val="00504079"/>
    <w:rsid w:val="00590223"/>
    <w:rsid w:val="005A444F"/>
    <w:rsid w:val="006260B1"/>
    <w:rsid w:val="006569D7"/>
    <w:rsid w:val="00720D14"/>
    <w:rsid w:val="008D72B0"/>
    <w:rsid w:val="0094320B"/>
    <w:rsid w:val="00992372"/>
    <w:rsid w:val="00A57C3B"/>
    <w:rsid w:val="00B83272"/>
    <w:rsid w:val="00BA1E9F"/>
    <w:rsid w:val="00BD0465"/>
    <w:rsid w:val="00C45C57"/>
    <w:rsid w:val="00CA2F65"/>
    <w:rsid w:val="00E739DD"/>
    <w:rsid w:val="00E773C3"/>
    <w:rsid w:val="00EC159C"/>
    <w:rsid w:val="00F06660"/>
    <w:rsid w:val="00F50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2014-03-31T15:03:00Z</cp:lastPrinted>
  <dcterms:created xsi:type="dcterms:W3CDTF">2013-12-04T17:53:00Z</dcterms:created>
  <dcterms:modified xsi:type="dcterms:W3CDTF">2014-06-02T13:39:00Z</dcterms:modified>
</cp:coreProperties>
</file>